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5BBD" w:rsidRPr="00375BBD" w:rsidRDefault="00375BBD" w:rsidP="00375BBD">
      <w:pPr>
        <w:bidi w:val="0"/>
        <w:jc w:val="center"/>
        <w:rPr>
          <w:rFonts w:cs="David"/>
          <w:b/>
          <w:bCs/>
          <w:sz w:val="28"/>
          <w:szCs w:val="28"/>
          <w:u w:val="single"/>
        </w:rPr>
      </w:pPr>
      <w:r w:rsidRPr="00375BBD">
        <w:rPr>
          <w:rFonts w:cs="David"/>
          <w:b/>
          <w:bCs/>
          <w:sz w:val="28"/>
          <w:szCs w:val="28"/>
          <w:u w:val="single"/>
        </w:rPr>
        <w:t>Important announcement: Tender No. 29/11: technological and regulatory monitoring services</w:t>
      </w:r>
    </w:p>
    <w:p w:rsidR="00A2166D" w:rsidRDefault="00375BBD" w:rsidP="00375BBD">
      <w:pPr>
        <w:bidi w:val="0"/>
        <w:jc w:val="both"/>
        <w:rPr>
          <w:rFonts w:cs="David"/>
          <w:sz w:val="24"/>
          <w:szCs w:val="24"/>
        </w:rPr>
      </w:pPr>
      <w:r w:rsidRPr="00375BBD">
        <w:rPr>
          <w:rFonts w:cs="David"/>
          <w:sz w:val="24"/>
          <w:szCs w:val="24"/>
        </w:rPr>
        <w:t>Bidders</w:t>
      </w:r>
      <w:r>
        <w:rPr>
          <w:rFonts w:cs="David"/>
          <w:sz w:val="24"/>
          <w:szCs w:val="24"/>
        </w:rPr>
        <w:t xml:space="preserve"> in the aforementioned tender</w:t>
      </w:r>
      <w:r w:rsidRPr="00375BBD">
        <w:rPr>
          <w:rFonts w:cs="David"/>
          <w:sz w:val="24"/>
          <w:szCs w:val="24"/>
        </w:rPr>
        <w:t xml:space="preserve"> are requested to complete the appended table, in order to enable </w:t>
      </w:r>
      <w:r w:rsidRPr="00375BBD">
        <w:rPr>
          <w:rFonts w:ascii="Times New Roman" w:hAnsi="Times New Roman" w:cs="David"/>
          <w:color w:val="333333"/>
          <w:sz w:val="24"/>
          <w:szCs w:val="24"/>
        </w:rPr>
        <w:t>Ministry of National Infrastructures</w:t>
      </w:r>
      <w:r>
        <w:rPr>
          <w:rFonts w:ascii="Times New Roman" w:hAnsi="Times New Roman" w:cs="David"/>
          <w:color w:val="333333"/>
          <w:sz w:val="24"/>
          <w:szCs w:val="24"/>
        </w:rPr>
        <w:t xml:space="preserve"> ("</w:t>
      </w:r>
      <w:r w:rsidRPr="00375BBD">
        <w:rPr>
          <w:rFonts w:ascii="Times New Roman" w:hAnsi="Times New Roman" w:cs="David"/>
          <w:b/>
          <w:bCs/>
          <w:color w:val="333333"/>
          <w:sz w:val="24"/>
          <w:szCs w:val="24"/>
        </w:rPr>
        <w:t>the ministry</w:t>
      </w:r>
      <w:r>
        <w:rPr>
          <w:rFonts w:ascii="Times New Roman" w:hAnsi="Times New Roman" w:cs="David"/>
          <w:color w:val="333333"/>
          <w:sz w:val="24"/>
          <w:szCs w:val="24"/>
        </w:rPr>
        <w:t>")</w:t>
      </w:r>
      <w:r w:rsidRPr="00375BBD">
        <w:rPr>
          <w:rFonts w:ascii="Times New Roman" w:hAnsi="Times New Roman" w:cs="David"/>
          <w:color w:val="333333"/>
          <w:sz w:val="24"/>
          <w:szCs w:val="24"/>
        </w:rPr>
        <w:t xml:space="preserve"> </w:t>
      </w:r>
      <w:r w:rsidRPr="00375BBD">
        <w:rPr>
          <w:rFonts w:cs="David"/>
          <w:sz w:val="24"/>
          <w:szCs w:val="24"/>
        </w:rPr>
        <w:t>to examine possible conflicts of interest, and if necessary, to formulate an agreement which will prevent any conflict of interests.</w:t>
      </w:r>
    </w:p>
    <w:p w:rsidR="00A2166D" w:rsidRDefault="00A2166D" w:rsidP="009B6452">
      <w:pPr>
        <w:bidi w:val="0"/>
        <w:rPr>
          <w:rFonts w:ascii="Arial" w:hAnsi="Arial" w:cs="Arial"/>
        </w:rPr>
      </w:pPr>
    </w:p>
    <w:p w:rsidR="00A2166D" w:rsidRPr="009B6452" w:rsidRDefault="00BC52DE" w:rsidP="009B6452">
      <w:pPr>
        <w:shd w:val="clear" w:color="auto" w:fill="F5F5F5"/>
        <w:bidi w:val="0"/>
        <w:spacing w:after="0" w:line="240" w:lineRule="auto"/>
        <w:textAlignment w:val="top"/>
        <w:rPr>
          <w:rFonts w:ascii="Calibri" w:hAnsi="Calibri" w:cs="Times New Roman"/>
          <w:sz w:val="24"/>
          <w:szCs w:val="24"/>
          <w:rtl/>
        </w:rPr>
      </w:pPr>
      <w:r>
        <w:rPr>
          <w:rFonts w:eastAsia="Times New Roman" w:cstheme="minorHAnsi"/>
          <w:color w:val="333333"/>
          <w:sz w:val="24"/>
          <w:szCs w:val="24"/>
        </w:rPr>
        <w:t>Al</w:t>
      </w:r>
      <w:r w:rsidR="009B6452" w:rsidRPr="009B6452">
        <w:rPr>
          <w:rFonts w:eastAsia="Times New Roman" w:cstheme="minorHAnsi"/>
          <w:color w:val="333333"/>
          <w:sz w:val="24"/>
          <w:szCs w:val="24"/>
        </w:rPr>
        <w:t xml:space="preserve">though </w:t>
      </w:r>
      <w:r>
        <w:rPr>
          <w:rFonts w:eastAsia="Times New Roman" w:cstheme="minorHAnsi"/>
          <w:color w:val="333333"/>
          <w:sz w:val="24"/>
          <w:szCs w:val="24"/>
        </w:rPr>
        <w:t>what is</w:t>
      </w:r>
      <w:r w:rsidR="009B6452" w:rsidRPr="009B6452">
        <w:rPr>
          <w:rFonts w:eastAsia="Times New Roman" w:cstheme="minorHAnsi"/>
          <w:color w:val="333333"/>
          <w:sz w:val="24"/>
          <w:szCs w:val="24"/>
        </w:rPr>
        <w:t xml:space="preserve"> written in the </w:t>
      </w:r>
      <w:proofErr w:type="gramStart"/>
      <w:r w:rsidR="009B6452" w:rsidRPr="009B6452">
        <w:rPr>
          <w:rFonts w:eastAsia="Times New Roman" w:cstheme="minorHAnsi"/>
          <w:color w:val="333333"/>
          <w:sz w:val="24"/>
          <w:szCs w:val="24"/>
        </w:rPr>
        <w:t xml:space="preserve">tender </w:t>
      </w:r>
      <w:r>
        <w:rPr>
          <w:rFonts w:eastAsia="Times New Roman" w:cstheme="minorHAnsi"/>
          <w:color w:val="333333"/>
          <w:sz w:val="24"/>
          <w:szCs w:val="24"/>
        </w:rPr>
        <w:t>,</w:t>
      </w:r>
      <w:proofErr w:type="gramEnd"/>
      <w:r>
        <w:rPr>
          <w:rFonts w:eastAsia="Times New Roman" w:cstheme="minorHAnsi"/>
          <w:color w:val="333333"/>
          <w:sz w:val="24"/>
          <w:szCs w:val="24"/>
        </w:rPr>
        <w:t xml:space="preserve"> </w:t>
      </w:r>
      <w:r w:rsidR="009B6452" w:rsidRPr="009B6452">
        <w:rPr>
          <w:sz w:val="24"/>
          <w:szCs w:val="24"/>
        </w:rPr>
        <w:t>t</w:t>
      </w:r>
      <w:r w:rsidR="00A2166D" w:rsidRPr="009B6452">
        <w:rPr>
          <w:sz w:val="24"/>
          <w:szCs w:val="24"/>
        </w:rPr>
        <w:t>he Ministry wishes to clarify that it reserves the right to accept services from bodies providing services to holders of petroleum rights in Israel, provided that these services are limited in scope and not of substance</w:t>
      </w:r>
    </w:p>
    <w:p w:rsidR="00375BBD" w:rsidRPr="00375BBD" w:rsidRDefault="00375BBD" w:rsidP="00A2166D">
      <w:pPr>
        <w:bidi w:val="0"/>
        <w:jc w:val="both"/>
        <w:rPr>
          <w:rFonts w:cs="David"/>
          <w:sz w:val="24"/>
          <w:szCs w:val="24"/>
        </w:rPr>
      </w:pPr>
    </w:p>
    <w:p w:rsidR="00375BBD" w:rsidRPr="00375BBD" w:rsidRDefault="00375BBD" w:rsidP="00A2166D">
      <w:pPr>
        <w:bidi w:val="0"/>
        <w:jc w:val="both"/>
        <w:rPr>
          <w:rFonts w:cs="David"/>
          <w:sz w:val="24"/>
          <w:szCs w:val="24"/>
        </w:rPr>
      </w:pPr>
      <w:r w:rsidRPr="00375BBD">
        <w:rPr>
          <w:rFonts w:cs="David"/>
          <w:sz w:val="24"/>
          <w:szCs w:val="24"/>
        </w:rPr>
        <w:t xml:space="preserve"> Bidders are reminded that in accordance with the terms of the Tender, the Ministry reserves the right to divide the services among a number of bidders, taking into account, inter alia, the possibility of conflict of interests between performing a particular service under the Tender while rendering a similar service to another.</w:t>
      </w:r>
    </w:p>
    <w:p w:rsidR="00375BBD" w:rsidRPr="00375BBD" w:rsidRDefault="00375BBD" w:rsidP="00375BBD">
      <w:pPr>
        <w:shd w:val="clear" w:color="auto" w:fill="F5F5F5"/>
        <w:bidi w:val="0"/>
        <w:jc w:val="both"/>
        <w:textAlignment w:val="top"/>
        <w:rPr>
          <w:rFonts w:ascii="Arial" w:hAnsi="Arial" w:cs="David"/>
          <w:color w:val="888888"/>
          <w:sz w:val="24"/>
          <w:szCs w:val="24"/>
        </w:rPr>
      </w:pPr>
      <w:r>
        <w:rPr>
          <w:rFonts w:ascii="Times New Roman" w:hAnsi="Times New Roman" w:cs="David"/>
          <w:color w:val="333333"/>
          <w:sz w:val="24"/>
          <w:szCs w:val="24"/>
        </w:rPr>
        <w:t xml:space="preserve">In addition, </w:t>
      </w:r>
      <w:r w:rsidRPr="00375BBD">
        <w:rPr>
          <w:rFonts w:ascii="Times New Roman" w:hAnsi="Times New Roman" w:cs="David"/>
          <w:color w:val="333333"/>
          <w:sz w:val="24"/>
          <w:szCs w:val="24"/>
        </w:rPr>
        <w:t>the Tender Committee of the Ministry announces t</w:t>
      </w:r>
      <w:r>
        <w:rPr>
          <w:rFonts w:ascii="Times New Roman" w:hAnsi="Times New Roman" w:cs="David"/>
          <w:color w:val="333333"/>
          <w:sz w:val="24"/>
          <w:szCs w:val="24"/>
        </w:rPr>
        <w:t xml:space="preserve">hat the deadline for submission </w:t>
      </w:r>
      <w:r w:rsidRPr="00375BBD">
        <w:rPr>
          <w:rFonts w:ascii="Times New Roman" w:hAnsi="Times New Roman" w:cs="David"/>
          <w:color w:val="333333"/>
          <w:sz w:val="24"/>
          <w:szCs w:val="24"/>
        </w:rPr>
        <w:t>of</w:t>
      </w:r>
      <w:r>
        <w:rPr>
          <w:rFonts w:ascii="Times New Roman" w:hAnsi="Times New Roman" w:cs="David"/>
          <w:color w:val="333333"/>
          <w:sz w:val="24"/>
          <w:szCs w:val="24"/>
        </w:rPr>
        <w:t xml:space="preserve"> the </w:t>
      </w:r>
      <w:proofErr w:type="gramStart"/>
      <w:r>
        <w:rPr>
          <w:rFonts w:ascii="Times New Roman" w:hAnsi="Times New Roman" w:cs="David"/>
          <w:color w:val="333333"/>
          <w:sz w:val="24"/>
          <w:szCs w:val="24"/>
        </w:rPr>
        <w:t>aforementioned  tender</w:t>
      </w:r>
      <w:proofErr w:type="gramEnd"/>
      <w:r>
        <w:rPr>
          <w:rFonts w:ascii="Times New Roman" w:hAnsi="Times New Roman" w:cs="David"/>
          <w:color w:val="333333"/>
          <w:sz w:val="24"/>
          <w:szCs w:val="24"/>
        </w:rPr>
        <w:t xml:space="preserve"> </w:t>
      </w:r>
      <w:r w:rsidRPr="00375BBD">
        <w:rPr>
          <w:rFonts w:ascii="Times New Roman" w:hAnsi="Times New Roman" w:cs="David"/>
          <w:color w:val="333333"/>
          <w:sz w:val="24"/>
          <w:szCs w:val="24"/>
        </w:rPr>
        <w:t xml:space="preserve"> has been postponed</w:t>
      </w:r>
      <w:r>
        <w:rPr>
          <w:rFonts w:ascii="Times New Roman" w:hAnsi="Times New Roman" w:cs="David"/>
          <w:color w:val="333333"/>
          <w:sz w:val="24"/>
          <w:szCs w:val="24"/>
        </w:rPr>
        <w:t xml:space="preserve">, </w:t>
      </w:r>
      <w:r w:rsidRPr="00375BBD">
        <w:rPr>
          <w:rFonts w:ascii="Times New Roman" w:hAnsi="Times New Roman" w:cs="David"/>
          <w:color w:val="333333"/>
          <w:sz w:val="24"/>
          <w:szCs w:val="24"/>
        </w:rPr>
        <w:t xml:space="preserve"> and the new </w:t>
      </w:r>
      <w:r>
        <w:rPr>
          <w:rFonts w:ascii="Times New Roman" w:hAnsi="Times New Roman" w:cs="David"/>
          <w:color w:val="333333"/>
          <w:sz w:val="24"/>
          <w:szCs w:val="24"/>
        </w:rPr>
        <w:t>deadline</w:t>
      </w:r>
      <w:r w:rsidRPr="00375BBD">
        <w:rPr>
          <w:rFonts w:ascii="Times New Roman" w:hAnsi="Times New Roman" w:cs="David"/>
          <w:color w:val="333333"/>
          <w:sz w:val="24"/>
          <w:szCs w:val="24"/>
        </w:rPr>
        <w:t xml:space="preserve"> of submission is October 2, 2011</w:t>
      </w:r>
      <w:r w:rsidRPr="00375BBD">
        <w:rPr>
          <w:rFonts w:ascii="Arial" w:hAnsi="Arial" w:cs="David"/>
          <w:color w:val="333333"/>
          <w:sz w:val="24"/>
          <w:szCs w:val="24"/>
        </w:rPr>
        <w:t>.</w:t>
      </w:r>
    </w:p>
    <w:tbl>
      <w:tblPr>
        <w:tblStyle w:val="a3"/>
        <w:bidiVisual/>
        <w:tblW w:w="0" w:type="auto"/>
        <w:jc w:val="right"/>
        <w:tblInd w:w="50" w:type="dxa"/>
        <w:tblLayout w:type="fixed"/>
        <w:tblLook w:val="04A0"/>
      </w:tblPr>
      <w:tblGrid>
        <w:gridCol w:w="14"/>
        <w:gridCol w:w="2397"/>
        <w:gridCol w:w="1269"/>
        <w:gridCol w:w="1396"/>
        <w:gridCol w:w="13"/>
        <w:gridCol w:w="1269"/>
        <w:gridCol w:w="1397"/>
        <w:gridCol w:w="12"/>
        <w:gridCol w:w="660"/>
        <w:gridCol w:w="12"/>
      </w:tblGrid>
      <w:tr w:rsidR="00375BBD" w:rsidRPr="005F0876" w:rsidTr="00B02853">
        <w:trPr>
          <w:gridAfter w:val="1"/>
          <w:wAfter w:w="12" w:type="dxa"/>
          <w:trHeight w:val="385"/>
          <w:jc w:val="right"/>
        </w:trPr>
        <w:tc>
          <w:tcPr>
            <w:tcW w:w="5076" w:type="dxa"/>
            <w:gridSpan w:val="4"/>
          </w:tcPr>
          <w:p w:rsidR="00375BBD" w:rsidRPr="005F0876" w:rsidRDefault="00375BBD" w:rsidP="00375BBD">
            <w:pPr>
              <w:bidi w:val="0"/>
              <w:jc w:val="both"/>
              <w:rPr>
                <w:rFonts w:asciiTheme="majorBidi" w:hAnsiTheme="majorBidi" w:cstheme="majorBidi"/>
                <w:sz w:val="28"/>
                <w:szCs w:val="28"/>
              </w:rPr>
            </w:pPr>
            <w:r>
              <w:rPr>
                <w:rFonts w:asciiTheme="majorBidi" w:hAnsiTheme="majorBidi" w:cstheme="majorBidi"/>
                <w:sz w:val="28"/>
                <w:szCs w:val="28"/>
              </w:rPr>
              <w:t>Type of Service</w:t>
            </w:r>
          </w:p>
        </w:tc>
        <w:tc>
          <w:tcPr>
            <w:tcW w:w="2679" w:type="dxa"/>
            <w:gridSpan w:val="3"/>
          </w:tcPr>
          <w:p w:rsidR="00375BBD" w:rsidRPr="005F0876" w:rsidRDefault="00375BBD" w:rsidP="00375BBD">
            <w:pPr>
              <w:bidi w:val="0"/>
              <w:jc w:val="both"/>
              <w:rPr>
                <w:rFonts w:asciiTheme="majorBidi" w:hAnsiTheme="majorBidi" w:cstheme="majorBidi"/>
                <w:sz w:val="28"/>
                <w:szCs w:val="28"/>
                <w:rtl/>
              </w:rPr>
            </w:pPr>
            <w:r>
              <w:rPr>
                <w:rFonts w:asciiTheme="majorBidi" w:hAnsiTheme="majorBidi" w:cstheme="majorBidi"/>
                <w:sz w:val="28"/>
                <w:szCs w:val="28"/>
              </w:rPr>
              <w:t>Company activity</w:t>
            </w:r>
          </w:p>
        </w:tc>
        <w:tc>
          <w:tcPr>
            <w:tcW w:w="672" w:type="dxa"/>
            <w:gridSpan w:val="2"/>
            <w:vMerge w:val="restart"/>
          </w:tcPr>
          <w:p w:rsidR="00375BBD" w:rsidRPr="005F0876" w:rsidRDefault="00375BBD" w:rsidP="00375BBD">
            <w:pPr>
              <w:bidi w:val="0"/>
              <w:jc w:val="both"/>
              <w:rPr>
                <w:rFonts w:asciiTheme="majorBidi" w:hAnsiTheme="majorBidi" w:cstheme="majorBidi"/>
                <w:sz w:val="28"/>
                <w:szCs w:val="28"/>
                <w:rtl/>
              </w:rPr>
            </w:pPr>
            <w:r>
              <w:rPr>
                <w:rFonts w:asciiTheme="majorBidi" w:hAnsiTheme="majorBidi" w:cstheme="majorBidi"/>
                <w:sz w:val="28"/>
                <w:szCs w:val="28"/>
              </w:rPr>
              <w:t>NN</w:t>
            </w:r>
          </w:p>
        </w:tc>
      </w:tr>
      <w:tr w:rsidR="00375BBD" w:rsidRPr="005F0876" w:rsidTr="00B02853">
        <w:trPr>
          <w:gridBefore w:val="1"/>
          <w:wBefore w:w="14" w:type="dxa"/>
          <w:trHeight w:val="788"/>
          <w:jc w:val="right"/>
        </w:trPr>
        <w:tc>
          <w:tcPr>
            <w:tcW w:w="2397" w:type="dxa"/>
          </w:tcPr>
          <w:p w:rsidR="00375BBD" w:rsidRPr="005F0876" w:rsidRDefault="00375BBD" w:rsidP="00B02853">
            <w:pPr>
              <w:bidi w:val="0"/>
              <w:rPr>
                <w:rFonts w:asciiTheme="majorBidi" w:hAnsiTheme="majorBidi" w:cstheme="majorBidi"/>
                <w:sz w:val="28"/>
                <w:szCs w:val="28"/>
                <w:rtl/>
              </w:rPr>
            </w:pPr>
            <w:r>
              <w:rPr>
                <w:rFonts w:asciiTheme="majorBidi" w:hAnsiTheme="majorBidi" w:cstheme="majorBidi"/>
                <w:sz w:val="28"/>
                <w:szCs w:val="28"/>
              </w:rPr>
              <w:t>Yearly Price (ths.$ USA)</w:t>
            </w:r>
          </w:p>
        </w:tc>
        <w:tc>
          <w:tcPr>
            <w:tcW w:w="1269" w:type="dxa"/>
          </w:tcPr>
          <w:p w:rsidR="00375BBD" w:rsidRPr="005F0876" w:rsidRDefault="00375BBD" w:rsidP="00B02853">
            <w:pPr>
              <w:bidi w:val="0"/>
              <w:rPr>
                <w:rFonts w:asciiTheme="majorBidi" w:hAnsiTheme="majorBidi" w:cstheme="majorBidi"/>
                <w:sz w:val="28"/>
                <w:szCs w:val="28"/>
                <w:rtl/>
              </w:rPr>
            </w:pPr>
            <w:r>
              <w:rPr>
                <w:rFonts w:asciiTheme="majorBidi" w:hAnsiTheme="majorBidi" w:cstheme="majorBidi"/>
                <w:sz w:val="28"/>
                <w:szCs w:val="28"/>
              </w:rPr>
              <w:t>Contract Period</w:t>
            </w:r>
          </w:p>
        </w:tc>
        <w:tc>
          <w:tcPr>
            <w:tcW w:w="1409" w:type="dxa"/>
            <w:gridSpan w:val="2"/>
          </w:tcPr>
          <w:p w:rsidR="00375BBD" w:rsidRPr="005F0876" w:rsidRDefault="00375BBD" w:rsidP="00B02853">
            <w:pPr>
              <w:bidi w:val="0"/>
              <w:rPr>
                <w:rFonts w:asciiTheme="majorBidi" w:hAnsiTheme="majorBidi" w:cstheme="majorBidi"/>
                <w:sz w:val="28"/>
                <w:szCs w:val="28"/>
                <w:rtl/>
              </w:rPr>
            </w:pPr>
            <w:r>
              <w:rPr>
                <w:rFonts w:asciiTheme="majorBidi" w:hAnsiTheme="majorBidi" w:cstheme="majorBidi"/>
                <w:sz w:val="28"/>
                <w:szCs w:val="28"/>
              </w:rPr>
              <w:t>Content</w:t>
            </w:r>
          </w:p>
        </w:tc>
        <w:tc>
          <w:tcPr>
            <w:tcW w:w="1269" w:type="dxa"/>
          </w:tcPr>
          <w:p w:rsidR="00375BBD" w:rsidRPr="005F0876" w:rsidRDefault="00375BBD" w:rsidP="00B02853">
            <w:pPr>
              <w:bidi w:val="0"/>
              <w:rPr>
                <w:rFonts w:asciiTheme="majorBidi" w:hAnsiTheme="majorBidi" w:cstheme="majorBidi"/>
                <w:sz w:val="28"/>
                <w:szCs w:val="28"/>
                <w:rtl/>
              </w:rPr>
            </w:pPr>
            <w:r>
              <w:rPr>
                <w:rFonts w:asciiTheme="majorBidi" w:hAnsiTheme="majorBidi" w:cstheme="majorBidi"/>
                <w:sz w:val="28"/>
                <w:szCs w:val="28"/>
              </w:rPr>
              <w:t xml:space="preserve">Main </w:t>
            </w:r>
          </w:p>
        </w:tc>
        <w:tc>
          <w:tcPr>
            <w:tcW w:w="1409" w:type="dxa"/>
            <w:gridSpan w:val="2"/>
          </w:tcPr>
          <w:p w:rsidR="00375BBD" w:rsidRPr="00100DA8" w:rsidRDefault="00375BBD" w:rsidP="00B02853">
            <w:pPr>
              <w:bidi w:val="0"/>
              <w:rPr>
                <w:rFonts w:asciiTheme="majorBidi" w:hAnsiTheme="majorBidi" w:cstheme="majorBidi"/>
                <w:sz w:val="28"/>
                <w:szCs w:val="28"/>
              </w:rPr>
            </w:pPr>
            <w:r>
              <w:rPr>
                <w:rFonts w:asciiTheme="majorBidi" w:hAnsiTheme="majorBidi" w:cstheme="majorBidi" w:hint="cs"/>
                <w:sz w:val="28"/>
                <w:szCs w:val="28"/>
              </w:rPr>
              <w:t>C</w:t>
            </w:r>
            <w:r>
              <w:rPr>
                <w:rFonts w:asciiTheme="majorBidi" w:hAnsiTheme="majorBidi" w:cstheme="majorBidi"/>
                <w:sz w:val="28"/>
                <w:szCs w:val="28"/>
              </w:rPr>
              <w:t>ompany or Person</w:t>
            </w:r>
          </w:p>
        </w:tc>
        <w:tc>
          <w:tcPr>
            <w:tcW w:w="672" w:type="dxa"/>
            <w:gridSpan w:val="2"/>
            <w:vMerge/>
          </w:tcPr>
          <w:p w:rsidR="00375BBD" w:rsidRPr="005F0876" w:rsidRDefault="00375BBD" w:rsidP="00B02853">
            <w:pPr>
              <w:bidi w:val="0"/>
              <w:rPr>
                <w:rFonts w:asciiTheme="majorBidi" w:hAnsiTheme="majorBidi" w:cstheme="majorBidi"/>
                <w:sz w:val="28"/>
                <w:szCs w:val="28"/>
                <w:rtl/>
              </w:rPr>
            </w:pPr>
          </w:p>
        </w:tc>
      </w:tr>
      <w:tr w:rsidR="00375BBD" w:rsidRPr="005F0876" w:rsidTr="00B02853">
        <w:trPr>
          <w:gridBefore w:val="1"/>
          <w:wBefore w:w="14" w:type="dxa"/>
          <w:trHeight w:val="385"/>
          <w:jc w:val="right"/>
        </w:trPr>
        <w:tc>
          <w:tcPr>
            <w:tcW w:w="2397" w:type="dxa"/>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672" w:type="dxa"/>
            <w:gridSpan w:val="2"/>
          </w:tcPr>
          <w:p w:rsidR="00375BBD" w:rsidRPr="005F0876" w:rsidRDefault="00375BBD" w:rsidP="00B02853">
            <w:pPr>
              <w:bidi w:val="0"/>
              <w:rPr>
                <w:rFonts w:asciiTheme="majorBidi" w:hAnsiTheme="majorBidi" w:cstheme="majorBidi"/>
                <w:sz w:val="28"/>
                <w:szCs w:val="28"/>
                <w:rtl/>
              </w:rPr>
            </w:pPr>
          </w:p>
        </w:tc>
      </w:tr>
      <w:tr w:rsidR="00375BBD" w:rsidRPr="005F0876" w:rsidTr="00B02853">
        <w:trPr>
          <w:gridBefore w:val="1"/>
          <w:wBefore w:w="14" w:type="dxa"/>
          <w:trHeight w:val="385"/>
          <w:jc w:val="right"/>
        </w:trPr>
        <w:tc>
          <w:tcPr>
            <w:tcW w:w="2397" w:type="dxa"/>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672" w:type="dxa"/>
            <w:gridSpan w:val="2"/>
          </w:tcPr>
          <w:p w:rsidR="00375BBD" w:rsidRPr="005F0876" w:rsidRDefault="00375BBD" w:rsidP="00B02853">
            <w:pPr>
              <w:bidi w:val="0"/>
              <w:rPr>
                <w:rFonts w:asciiTheme="majorBidi" w:hAnsiTheme="majorBidi" w:cstheme="majorBidi"/>
                <w:sz w:val="28"/>
                <w:szCs w:val="28"/>
                <w:rtl/>
              </w:rPr>
            </w:pPr>
          </w:p>
        </w:tc>
      </w:tr>
      <w:tr w:rsidR="00375BBD" w:rsidRPr="005F0876" w:rsidTr="00B02853">
        <w:trPr>
          <w:gridBefore w:val="1"/>
          <w:wBefore w:w="14" w:type="dxa"/>
          <w:trHeight w:val="385"/>
          <w:jc w:val="right"/>
        </w:trPr>
        <w:tc>
          <w:tcPr>
            <w:tcW w:w="2397" w:type="dxa"/>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672" w:type="dxa"/>
            <w:gridSpan w:val="2"/>
          </w:tcPr>
          <w:p w:rsidR="00375BBD" w:rsidRPr="005F0876" w:rsidRDefault="00375BBD" w:rsidP="00B02853">
            <w:pPr>
              <w:bidi w:val="0"/>
              <w:rPr>
                <w:rFonts w:asciiTheme="majorBidi" w:hAnsiTheme="majorBidi" w:cstheme="majorBidi"/>
                <w:sz w:val="28"/>
                <w:szCs w:val="28"/>
                <w:rtl/>
              </w:rPr>
            </w:pPr>
          </w:p>
        </w:tc>
      </w:tr>
      <w:tr w:rsidR="00375BBD" w:rsidRPr="005F0876" w:rsidTr="00B02853">
        <w:trPr>
          <w:gridBefore w:val="1"/>
          <w:wBefore w:w="14" w:type="dxa"/>
          <w:trHeight w:val="385"/>
          <w:jc w:val="right"/>
        </w:trPr>
        <w:tc>
          <w:tcPr>
            <w:tcW w:w="2397" w:type="dxa"/>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672" w:type="dxa"/>
            <w:gridSpan w:val="2"/>
          </w:tcPr>
          <w:p w:rsidR="00375BBD" w:rsidRPr="005F0876" w:rsidRDefault="00375BBD" w:rsidP="00B02853">
            <w:pPr>
              <w:bidi w:val="0"/>
              <w:rPr>
                <w:rFonts w:asciiTheme="majorBidi" w:hAnsiTheme="majorBidi" w:cstheme="majorBidi"/>
                <w:sz w:val="28"/>
                <w:szCs w:val="28"/>
                <w:rtl/>
              </w:rPr>
            </w:pPr>
          </w:p>
        </w:tc>
      </w:tr>
      <w:tr w:rsidR="00375BBD" w:rsidRPr="005F0876" w:rsidTr="00B02853">
        <w:trPr>
          <w:gridBefore w:val="1"/>
          <w:wBefore w:w="14" w:type="dxa"/>
          <w:trHeight w:val="385"/>
          <w:jc w:val="right"/>
        </w:trPr>
        <w:tc>
          <w:tcPr>
            <w:tcW w:w="2397" w:type="dxa"/>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672" w:type="dxa"/>
            <w:gridSpan w:val="2"/>
          </w:tcPr>
          <w:p w:rsidR="00375BBD" w:rsidRPr="005F0876" w:rsidRDefault="00375BBD" w:rsidP="00B02853">
            <w:pPr>
              <w:bidi w:val="0"/>
              <w:rPr>
                <w:rFonts w:asciiTheme="majorBidi" w:hAnsiTheme="majorBidi" w:cstheme="majorBidi"/>
                <w:sz w:val="28"/>
                <w:szCs w:val="28"/>
                <w:rtl/>
              </w:rPr>
            </w:pPr>
          </w:p>
        </w:tc>
      </w:tr>
      <w:tr w:rsidR="00375BBD" w:rsidRPr="005F0876" w:rsidTr="00B02853">
        <w:trPr>
          <w:gridBefore w:val="1"/>
          <w:wBefore w:w="14" w:type="dxa"/>
          <w:trHeight w:val="403"/>
          <w:jc w:val="right"/>
        </w:trPr>
        <w:tc>
          <w:tcPr>
            <w:tcW w:w="2397" w:type="dxa"/>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1269" w:type="dxa"/>
          </w:tcPr>
          <w:p w:rsidR="00375BBD" w:rsidRPr="005F0876" w:rsidRDefault="00375BBD" w:rsidP="00B02853">
            <w:pPr>
              <w:bidi w:val="0"/>
              <w:rPr>
                <w:rFonts w:asciiTheme="majorBidi" w:hAnsiTheme="majorBidi" w:cstheme="majorBidi"/>
                <w:sz w:val="28"/>
                <w:szCs w:val="28"/>
                <w:rtl/>
              </w:rPr>
            </w:pPr>
          </w:p>
        </w:tc>
        <w:tc>
          <w:tcPr>
            <w:tcW w:w="1409" w:type="dxa"/>
            <w:gridSpan w:val="2"/>
          </w:tcPr>
          <w:p w:rsidR="00375BBD" w:rsidRPr="005F0876" w:rsidRDefault="00375BBD" w:rsidP="00B02853">
            <w:pPr>
              <w:bidi w:val="0"/>
              <w:rPr>
                <w:rFonts w:asciiTheme="majorBidi" w:hAnsiTheme="majorBidi" w:cstheme="majorBidi"/>
                <w:sz w:val="28"/>
                <w:szCs w:val="28"/>
                <w:rtl/>
              </w:rPr>
            </w:pPr>
          </w:p>
        </w:tc>
        <w:tc>
          <w:tcPr>
            <w:tcW w:w="672" w:type="dxa"/>
            <w:gridSpan w:val="2"/>
          </w:tcPr>
          <w:p w:rsidR="00375BBD" w:rsidRPr="005F0876" w:rsidRDefault="00375BBD" w:rsidP="00B02853">
            <w:pPr>
              <w:bidi w:val="0"/>
              <w:rPr>
                <w:rFonts w:asciiTheme="majorBidi" w:hAnsiTheme="majorBidi" w:cstheme="majorBidi"/>
                <w:sz w:val="28"/>
                <w:szCs w:val="28"/>
                <w:rtl/>
              </w:rPr>
            </w:pPr>
          </w:p>
        </w:tc>
      </w:tr>
    </w:tbl>
    <w:p w:rsidR="00375BBD" w:rsidRDefault="00375BBD" w:rsidP="00375BBD">
      <w:pPr>
        <w:bidi w:val="0"/>
      </w:pPr>
    </w:p>
    <w:p w:rsidR="00375BBD" w:rsidRDefault="00375BBD" w:rsidP="00375BBD">
      <w:pPr>
        <w:bidi w:val="0"/>
      </w:pPr>
    </w:p>
    <w:p w:rsidR="00B15627" w:rsidRDefault="00375BBD" w:rsidP="00375BBD">
      <w:pPr>
        <w:bidi w:val="0"/>
        <w:rPr>
          <w:rtl/>
        </w:rPr>
      </w:pPr>
      <w:r>
        <w:t> </w:t>
      </w:r>
      <w:r>
        <w:br/>
      </w:r>
    </w:p>
    <w:sectPr w:rsidR="00B15627" w:rsidSect="00E1022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75BBD"/>
    <w:rsid w:val="00025E12"/>
    <w:rsid w:val="00231FD4"/>
    <w:rsid w:val="002A3C55"/>
    <w:rsid w:val="002E1AC9"/>
    <w:rsid w:val="00357D49"/>
    <w:rsid w:val="00375BBD"/>
    <w:rsid w:val="003D7DC7"/>
    <w:rsid w:val="00536A72"/>
    <w:rsid w:val="00587BEC"/>
    <w:rsid w:val="006C1492"/>
    <w:rsid w:val="00701E46"/>
    <w:rsid w:val="00790CB8"/>
    <w:rsid w:val="00810159"/>
    <w:rsid w:val="009B1DB4"/>
    <w:rsid w:val="009B6452"/>
    <w:rsid w:val="00A2166D"/>
    <w:rsid w:val="00AC5141"/>
    <w:rsid w:val="00B96A50"/>
    <w:rsid w:val="00BB7837"/>
    <w:rsid w:val="00BC52DE"/>
    <w:rsid w:val="00BE7898"/>
    <w:rsid w:val="00C83DB5"/>
    <w:rsid w:val="00E10224"/>
    <w:rsid w:val="00E50DA8"/>
    <w:rsid w:val="00E65DD8"/>
    <w:rsid w:val="00E765D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1DB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75BB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horttext">
    <w:name w:val="short_text"/>
    <w:basedOn w:val="a0"/>
    <w:rsid w:val="009B6452"/>
  </w:style>
  <w:style w:type="character" w:customStyle="1" w:styleId="hps">
    <w:name w:val="hps"/>
    <w:basedOn w:val="a0"/>
    <w:rsid w:val="009B6452"/>
  </w:style>
</w:styles>
</file>

<file path=word/webSettings.xml><?xml version="1.0" encoding="utf-8"?>
<w:webSettings xmlns:r="http://schemas.openxmlformats.org/officeDocument/2006/relationships" xmlns:w="http://schemas.openxmlformats.org/wordprocessingml/2006/main">
  <w:divs>
    <w:div w:id="179466552">
      <w:bodyDiv w:val="1"/>
      <w:marLeft w:val="0"/>
      <w:marRight w:val="0"/>
      <w:marTop w:val="0"/>
      <w:marBottom w:val="0"/>
      <w:divBdr>
        <w:top w:val="none" w:sz="0" w:space="0" w:color="auto"/>
        <w:left w:val="none" w:sz="0" w:space="0" w:color="auto"/>
        <w:bottom w:val="none" w:sz="0" w:space="0" w:color="auto"/>
        <w:right w:val="none" w:sz="0" w:space="0" w:color="auto"/>
      </w:divBdr>
    </w:div>
    <w:div w:id="647588675">
      <w:bodyDiv w:val="1"/>
      <w:marLeft w:val="0"/>
      <w:marRight w:val="0"/>
      <w:marTop w:val="0"/>
      <w:marBottom w:val="0"/>
      <w:divBdr>
        <w:top w:val="none" w:sz="0" w:space="0" w:color="auto"/>
        <w:left w:val="none" w:sz="0" w:space="0" w:color="auto"/>
        <w:bottom w:val="none" w:sz="0" w:space="0" w:color="auto"/>
        <w:right w:val="none" w:sz="0" w:space="0" w:color="auto"/>
      </w:divBdr>
      <w:divsChild>
        <w:div w:id="482551722">
          <w:marLeft w:val="0"/>
          <w:marRight w:val="0"/>
          <w:marTop w:val="0"/>
          <w:marBottom w:val="0"/>
          <w:divBdr>
            <w:top w:val="none" w:sz="0" w:space="0" w:color="auto"/>
            <w:left w:val="none" w:sz="0" w:space="0" w:color="auto"/>
            <w:bottom w:val="none" w:sz="0" w:space="0" w:color="auto"/>
            <w:right w:val="none" w:sz="0" w:space="0" w:color="auto"/>
          </w:divBdr>
          <w:divsChild>
            <w:div w:id="1715692208">
              <w:marLeft w:val="0"/>
              <w:marRight w:val="0"/>
              <w:marTop w:val="0"/>
              <w:marBottom w:val="0"/>
              <w:divBdr>
                <w:top w:val="none" w:sz="0" w:space="0" w:color="auto"/>
                <w:left w:val="none" w:sz="0" w:space="0" w:color="auto"/>
                <w:bottom w:val="none" w:sz="0" w:space="0" w:color="auto"/>
                <w:right w:val="none" w:sz="0" w:space="0" w:color="auto"/>
              </w:divBdr>
              <w:divsChild>
                <w:div w:id="1467892993">
                  <w:marLeft w:val="0"/>
                  <w:marRight w:val="0"/>
                  <w:marTop w:val="0"/>
                  <w:marBottom w:val="0"/>
                  <w:divBdr>
                    <w:top w:val="none" w:sz="0" w:space="0" w:color="auto"/>
                    <w:left w:val="none" w:sz="0" w:space="0" w:color="auto"/>
                    <w:bottom w:val="none" w:sz="0" w:space="0" w:color="auto"/>
                    <w:right w:val="none" w:sz="0" w:space="0" w:color="auto"/>
                  </w:divBdr>
                  <w:divsChild>
                    <w:div w:id="950092510">
                      <w:marLeft w:val="0"/>
                      <w:marRight w:val="0"/>
                      <w:marTop w:val="0"/>
                      <w:marBottom w:val="0"/>
                      <w:divBdr>
                        <w:top w:val="none" w:sz="0" w:space="0" w:color="auto"/>
                        <w:left w:val="none" w:sz="0" w:space="0" w:color="auto"/>
                        <w:bottom w:val="none" w:sz="0" w:space="0" w:color="auto"/>
                        <w:right w:val="none" w:sz="0" w:space="0" w:color="auto"/>
                      </w:divBdr>
                      <w:divsChild>
                        <w:div w:id="962924380">
                          <w:marLeft w:val="0"/>
                          <w:marRight w:val="0"/>
                          <w:marTop w:val="0"/>
                          <w:marBottom w:val="0"/>
                          <w:divBdr>
                            <w:top w:val="none" w:sz="0" w:space="0" w:color="auto"/>
                            <w:left w:val="none" w:sz="0" w:space="0" w:color="auto"/>
                            <w:bottom w:val="none" w:sz="0" w:space="0" w:color="auto"/>
                            <w:right w:val="none" w:sz="0" w:space="0" w:color="auto"/>
                          </w:divBdr>
                          <w:divsChild>
                            <w:div w:id="619799057">
                              <w:marLeft w:val="0"/>
                              <w:marRight w:val="0"/>
                              <w:marTop w:val="0"/>
                              <w:marBottom w:val="0"/>
                              <w:divBdr>
                                <w:top w:val="none" w:sz="0" w:space="0" w:color="auto"/>
                                <w:left w:val="none" w:sz="0" w:space="0" w:color="auto"/>
                                <w:bottom w:val="none" w:sz="0" w:space="0" w:color="auto"/>
                                <w:right w:val="none" w:sz="0" w:space="0" w:color="auto"/>
                              </w:divBdr>
                              <w:divsChild>
                                <w:div w:id="1932270992">
                                  <w:marLeft w:val="0"/>
                                  <w:marRight w:val="0"/>
                                  <w:marTop w:val="0"/>
                                  <w:marBottom w:val="0"/>
                                  <w:divBdr>
                                    <w:top w:val="single" w:sz="6" w:space="0" w:color="F5F5F5"/>
                                    <w:left w:val="single" w:sz="6" w:space="0" w:color="F5F5F5"/>
                                    <w:bottom w:val="single" w:sz="6" w:space="0" w:color="F5F5F5"/>
                                    <w:right w:val="single" w:sz="6" w:space="0" w:color="F5F5F5"/>
                                  </w:divBdr>
                                  <w:divsChild>
                                    <w:div w:id="2030598055">
                                      <w:marLeft w:val="0"/>
                                      <w:marRight w:val="0"/>
                                      <w:marTop w:val="0"/>
                                      <w:marBottom w:val="0"/>
                                      <w:divBdr>
                                        <w:top w:val="none" w:sz="0" w:space="0" w:color="auto"/>
                                        <w:left w:val="none" w:sz="0" w:space="0" w:color="auto"/>
                                        <w:bottom w:val="none" w:sz="0" w:space="0" w:color="auto"/>
                                        <w:right w:val="none" w:sz="0" w:space="0" w:color="auto"/>
                                      </w:divBdr>
                                      <w:divsChild>
                                        <w:div w:id="95776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7050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222</Words>
  <Characters>1111</Characters>
  <Application>Microsoft Office Word</Application>
  <DocSecurity>0</DocSecurity>
  <Lines>9</Lines>
  <Paragraphs>2</Paragraphs>
  <ScaleCrop>false</ScaleCrop>
  <Company>MNI</Company>
  <LinksUpToDate>false</LinksUpToDate>
  <CharactersWithSpaces>1331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yaira</dc:creator>
  <cp:lastModifiedBy>yozana</cp:lastModifiedBy>
  <cp:revision>2</cp:revision>
  <dcterms:created xsi:type="dcterms:W3CDTF">2011-09-08T11:29:00Z</dcterms:created>
  <dcterms:modified xsi:type="dcterms:W3CDTF">2011-09-08T11:29:00Z</dcterms:modified>
</cp:coreProperties>
</file>